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B0" w:rsidRDefault="00A04503" w:rsidP="00A0450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 особенностях прохождения ГИА в 2024 году</w:t>
      </w:r>
      <w:bookmarkStart w:id="0" w:name="_GoBack"/>
      <w:bookmarkEnd w:id="0"/>
    </w:p>
    <w:p w:rsidR="00A04503" w:rsidRDefault="00A04503" w:rsidP="00A04503">
      <w:pPr>
        <w:ind w:firstLine="709"/>
        <w:jc w:val="center"/>
        <w:rPr>
          <w:sz w:val="28"/>
          <w:szCs w:val="28"/>
        </w:rPr>
      </w:pPr>
    </w:p>
    <w:p w:rsidR="004C431E" w:rsidRPr="004C431E" w:rsidRDefault="00A04503" w:rsidP="004C4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431E" w:rsidRPr="004C431E">
        <w:rPr>
          <w:sz w:val="28"/>
          <w:szCs w:val="28"/>
        </w:rPr>
        <w:t>риказом Министерства просвещения</w:t>
      </w:r>
      <w:r w:rsidR="003A4C24">
        <w:rPr>
          <w:sz w:val="28"/>
          <w:szCs w:val="28"/>
        </w:rPr>
        <w:t xml:space="preserve"> </w:t>
      </w:r>
      <w:r w:rsidR="004C431E" w:rsidRPr="004C431E">
        <w:rPr>
          <w:sz w:val="28"/>
          <w:szCs w:val="28"/>
        </w:rPr>
        <w:t>Российской Федерации и Федеральной службы по надзору в сфере</w:t>
      </w:r>
      <w:r w:rsidR="003A4C24">
        <w:rPr>
          <w:sz w:val="28"/>
          <w:szCs w:val="28"/>
        </w:rPr>
        <w:t xml:space="preserve"> </w:t>
      </w:r>
      <w:r w:rsidR="004C431E" w:rsidRPr="004C431E">
        <w:rPr>
          <w:sz w:val="28"/>
          <w:szCs w:val="28"/>
        </w:rPr>
        <w:t>образования и науки от 31 января 2024 г. № 59/137 «Об особенностях</w:t>
      </w:r>
      <w:r w:rsidR="003A4C24">
        <w:rPr>
          <w:sz w:val="28"/>
          <w:szCs w:val="28"/>
        </w:rPr>
        <w:t xml:space="preserve"> </w:t>
      </w:r>
      <w:r w:rsidR="004C431E" w:rsidRPr="004C431E">
        <w:rPr>
          <w:sz w:val="28"/>
          <w:szCs w:val="28"/>
        </w:rPr>
        <w:t>проведения государственной итоговой аттестации при завершении освоения</w:t>
      </w:r>
      <w:r w:rsidR="003A4C24">
        <w:rPr>
          <w:sz w:val="28"/>
          <w:szCs w:val="28"/>
        </w:rPr>
        <w:t xml:space="preserve"> </w:t>
      </w:r>
      <w:r w:rsidR="004C431E" w:rsidRPr="004C431E">
        <w:rPr>
          <w:sz w:val="28"/>
          <w:szCs w:val="28"/>
        </w:rPr>
        <w:t>образовательных программ основного общего и среднего общего</w:t>
      </w:r>
      <w:r w:rsidR="003A4C24">
        <w:rPr>
          <w:sz w:val="28"/>
          <w:szCs w:val="28"/>
        </w:rPr>
        <w:t xml:space="preserve"> </w:t>
      </w:r>
      <w:r w:rsidR="004C431E" w:rsidRPr="004C431E">
        <w:rPr>
          <w:sz w:val="28"/>
          <w:szCs w:val="28"/>
        </w:rPr>
        <w:t>образования в 2024 году» предусмотрены особенности проведения</w:t>
      </w:r>
      <w:r w:rsidR="003A4C24">
        <w:rPr>
          <w:sz w:val="28"/>
          <w:szCs w:val="28"/>
        </w:rPr>
        <w:t xml:space="preserve"> </w:t>
      </w:r>
      <w:r w:rsidR="004C431E" w:rsidRPr="004C431E">
        <w:rPr>
          <w:sz w:val="28"/>
          <w:szCs w:val="28"/>
        </w:rPr>
        <w:t>государственной итоговой аттестации при завершении освоения</w:t>
      </w:r>
      <w:r w:rsidR="003A4C24">
        <w:rPr>
          <w:sz w:val="28"/>
          <w:szCs w:val="28"/>
        </w:rPr>
        <w:t xml:space="preserve"> </w:t>
      </w:r>
      <w:r w:rsidR="004C431E" w:rsidRPr="004C431E">
        <w:rPr>
          <w:sz w:val="28"/>
          <w:szCs w:val="28"/>
        </w:rPr>
        <w:t>образовательных программ основного общего и среднего общего</w:t>
      </w:r>
      <w:r w:rsidR="003A4C24">
        <w:rPr>
          <w:sz w:val="28"/>
          <w:szCs w:val="28"/>
        </w:rPr>
        <w:t xml:space="preserve"> </w:t>
      </w:r>
      <w:r w:rsidR="004C431E" w:rsidRPr="004C431E">
        <w:rPr>
          <w:sz w:val="28"/>
          <w:szCs w:val="28"/>
        </w:rPr>
        <w:t>образования в 2024 году (далее соответственно – Рособрнадзор,</w:t>
      </w:r>
      <w:r w:rsidR="003A4C24">
        <w:rPr>
          <w:sz w:val="28"/>
          <w:szCs w:val="28"/>
        </w:rPr>
        <w:t xml:space="preserve"> </w:t>
      </w:r>
      <w:r w:rsidR="004C431E" w:rsidRPr="004C431E">
        <w:rPr>
          <w:sz w:val="28"/>
          <w:szCs w:val="28"/>
        </w:rPr>
        <w:t>Особенности) для двух категорий граждан, в том числе иностранных,</w:t>
      </w:r>
      <w:r w:rsidR="003A4C24">
        <w:rPr>
          <w:sz w:val="28"/>
          <w:szCs w:val="28"/>
        </w:rPr>
        <w:t xml:space="preserve"> </w:t>
      </w:r>
      <w:r w:rsidR="004C431E" w:rsidRPr="004C431E">
        <w:rPr>
          <w:sz w:val="28"/>
          <w:szCs w:val="28"/>
        </w:rPr>
        <w:t>проходивших обучение за рубежом и вынужденных прервать его в связи</w:t>
      </w:r>
      <w:r w:rsidR="003A4C24">
        <w:rPr>
          <w:sz w:val="28"/>
          <w:szCs w:val="28"/>
        </w:rPr>
        <w:t xml:space="preserve"> </w:t>
      </w:r>
      <w:r w:rsidR="004C431E" w:rsidRPr="004C431E">
        <w:rPr>
          <w:sz w:val="28"/>
          <w:szCs w:val="28"/>
        </w:rPr>
        <w:t>с недружественными действиями иностранных государств.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Первая категория – лица, находящиеся в Российской Федерации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и осваивающие имеющие государственную аккредитацию образовательные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программы основного общего и среднего общего образования, принятые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на обучение начиная с 2021/22 учебного года в организации,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осуществляющие образовательную деятельность (далее – российские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школы). К данной категории относятся обучающиеся зарубежных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образовательных организаций, вынужденные прервать обучение за рубежом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и зачисленные в установленном порядке в российские школы в 2021/22,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2022/23, 2023/24 учебных годах.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Вторая категория – граждане, находящиеся в иностранных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государствах и осваивающие имеющие государственную аккредитацию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образовательные программы основного общего и среднего общего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образования в организациях, осуществляющих образовательную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деятельность на территории Российской Федерации, а также вне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организаций, осуществляющих образовательную деятельность, в форме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семейного образования или самообразования с применением электронного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обучения и (или) дистанционных образовательных технологий. К указанной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категории относятся обучающиеся в российских школах и при этом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находящиеся в иностранных государствах (вне зависимости от того в каких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иностранных государствах они находятся и сроков прибытия в иностранные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государства), прервавшие обучение в связи с невозможностью прибыть в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Российскую Федерацию (вне зависимости от причин, по которым они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находятся в иностранных государствах и (или) причин, по которым они не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могут вернуться на территорию Российской Федерации) для прохождения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государственной итоговой аттестации по образовательным программам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основного общего образования (далее – ГИА-9) или государственной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итоговой аттестации по образовательным программам среднего общего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образования (далее – ГИА-11) в формах, установленных Порядком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проведения государственной итоговой аттестации по образовательным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программам основного общего образования, утвержденным приказом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Министерства просвещения Российской Федерации и Рособрнадзора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от 4 апреля 2023 г. № 232/551 (далее – Порядок ГИА-9), и Порядком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 xml:space="preserve">проведения </w:t>
      </w:r>
      <w:r w:rsidRPr="004C431E">
        <w:rPr>
          <w:sz w:val="28"/>
          <w:szCs w:val="28"/>
        </w:rPr>
        <w:lastRenderedPageBreak/>
        <w:t>государственной итоговой аттестации по образовательным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программам среднего общего образования, утвержденным приказом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Министерства просвещения Российской Федерации и Рособрнадзора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от 4 апреля 2023 г. № 233/552 (далее – Порядок ГИА-11).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Ко второй категории, в том числе, относятся обучающиеся,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проходившие обучение в формах, установленных частью 2 статьи 17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Федерального закона от 29 декабря 2012 г. № 273-ФЗ «Об образовании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в Российской Федерации» (в очной, очно-заочной или заочной),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а также в форме семейного образования или самообразования с применением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электронного обучения и (или) дистанционных образовательных технологий.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Порядок перехода обучающихся на ту или иную форму обучения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осуществляется в соответствии с установленным законодательством в сфере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образования.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Указанные категории граждан для прохождения ГИА-9/ГИА-11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в соответствии с Особенностями подают соответствующее заявление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в образовательную организацию, в которой они осваивают образовательные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программы основного общего или среднего общего образования, а также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предоставляют документы, подтверждающие их отнесение к той или иной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категории.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В соответствии с пунктом 7 Порядка ГИА-9 к ГИА-9 допускаются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лица, указанные в пункте 6 Порядка ГИА-9 (за исключением экстернов), не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имеющие академической задолженности, в полном объеме выполнившие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учебный план или индивидуальный учебный план (имеющие годовые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отметки по всем учебным предметам учебного плана за IX класс не ниже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удовлетворительных), а также имеющие результат «зачет» за итоговое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собеседование по русскому языку (далее – итоговое собеседование).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Экстерны допускаются к ГИА-9 при условии получения на промежуточной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аттестации отметок не ниже удовлетворительных, а также имеющие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результат «зачет» за итоговое собеседование.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Пунктом 8 Порядка ГИА-11 предусмотрено, что к ГИА-11 допускаются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лица, указанные в пункте 7 Порядка ГИА-11 (за исключением экстернов), не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имеющие академической задолженности, в полном объеме выполнившие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учебный план или индивидуальный учебный план (имеющие годовые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отметки по всем учебным предметам учебного плана за каждый год обучения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по образовательным программам среднего общего образования не ниже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удовлетворительных), а также имеющие результат «зачет» за итоговое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сочинение (изложение). Экстерны допускаются к ГИА-11 при условии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получения на промежуточной аттестации отметок не ниже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удовлетворительных, а также имеющие результат «зачет» за итоговое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сочинение (изложение).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Пунктами 18 и 24 Порядка ГИА-9 установлено, что итоговое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собеседование проводится во вторую среду февраля, во вторую рабочую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среду марта и третий понедельник апреля.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lastRenderedPageBreak/>
        <w:t>Согласно пунктам 22 и 30 Порядка ГИА-11 итоговое сочинение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(изложение) проводится в первую среду декабря последнего года обучения, в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первую среду февраля и вторую среду апреля.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В случае невозможности проведения итогового собеседования в даты,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установленные пунктами 18 и 24 Порядка ГИА-9, и итогового сочинения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(изложения) в даты, установленные пунктами 22 и 30 Порядка ГИА-11,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Рособрнадзором на основании мотивированного обращения министерства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могут быть определены дополнительные даты проведения итогового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собеседования, согласно подпункту 3 пункта 16 Порядка ГИА-9, и итогового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сочинения (изложения), согласно подпункту 3 пункту 20 Порядка ГИА-11.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Порядком ГИА-9 и Порядком ГИА-11 не установлен срок подачи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заявления обучающимся для участия в итоговом собеседовании, итоговом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сочинении (изложении) в дополнительные даты проведения, установленные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Рособрнадзором.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Порядком ГИА-9 и Порядком ГИА-11 предусмотрена возможность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пересдачи обучающимся полученного «незачета» за итоговое собеседование,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итогового сочинение (изложение), но не более двух раз. Указанная норма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распространяется также на категории граждан, перечисленные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в Особенностях.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Обучающиеся обеих категорий вправе согласно Особенностям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по своему выбору пройти ГИА-9/ГИА-11 в формах, установленных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Порядком ГИА-9/Порядком ГИА-11, или в форме промежуточной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аттестации, результаты которой также являются основанием для выдачи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аттестата об основном общем образовании/аттестата о среднем общем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образовании.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Обучающиеся, завершающие освоение образовательных программ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среднего общего образования в 2024 году, являются выпускниками текущего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года. В соответствии с Порядком ГИА-11 лица, освоившие образовательные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программы среднего общего образования в предыдущие годы, имеющие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документ об образовании, подтверждающий получение среднего общего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образования, являются выпускниками прошлых лет. Таким образом,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обучающиеся, проходившие в 2024 году ГИА-11 в форме промежуточной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аттестации, не могут в этом же году участвовать в едином государственном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экзамене (далее – ЕГЭ). Такая возможность будет предоставлена указанным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лицам в следующем году в соответствии с пунктом 14 Порядка ГИА-11, т.е.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когда лица перейдут в категорию «выпускники прошлых лет».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Первая категория участников ГИА-9/ГИА-11, выбравших прохождение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ГИА-9/ГИА-11 в форме основного государственного экзамена (далее – ОГЭ)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и ЕГЭ сдают указанные экзамены, а также процедуры допуска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к ГИА-9/ГИА-11 в соответствии с Порядком ГИА-9 и Порядком ГИА-11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соответственно. Уточнение информации о наличии результата по итогам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прохождения итогового собеседования или итогового сочинения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(изложения), как условий допуска к ГИА-9/ГИА-11 соответственно,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обучающимися первой категории, принятыми на обучение в российские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школы после установленных дат проведения итогового собеседования или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 xml:space="preserve">итогового сочинения (изложения), </w:t>
      </w:r>
      <w:r w:rsidRPr="004C431E">
        <w:rPr>
          <w:sz w:val="28"/>
          <w:szCs w:val="28"/>
        </w:rPr>
        <w:lastRenderedPageBreak/>
        <w:t>происходит на основании письма-запроса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министерства в адрес ФГБУ «Федеральный центр тестирования».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Вторая категория участников ГИА-9/ГИА-11, выбравших прохождение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ОГЭ и ЕГЭ, для участия в указанных экзаменах могут обратиться к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учредителям образовательных организаций, осуществляющих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образовательную деятельность за пределами территории Российской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Федерации и реализующих имеющие государственную аккредитацию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образовательные программы основного общего/среднего общего образования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(далее – учредители), или в дипломатические представительства и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консульские учреждения Российской Федерации, представительства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Российской Федерации при международных (межгосударственных,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межправительственных) организациях, имеющие в своей структуре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специализированные структурные образовательные подразделения (далее –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загранучреждения).</w:t>
      </w:r>
    </w:p>
    <w:p w:rsidR="003A4C24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Список стран, в которых будет проходить ОГЭ и ЕГЭ в 2024 году,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 xml:space="preserve">размещен на официальном сайте Рособрнадзора </w:t>
      </w:r>
      <w:hyperlink r:id="rId8" w:history="1">
        <w:r w:rsidR="003A4C24" w:rsidRPr="00C105F6">
          <w:rPr>
            <w:rStyle w:val="ad"/>
            <w:sz w:val="28"/>
            <w:szCs w:val="28"/>
          </w:rPr>
          <w:t>http://obrnadzor.gov.ru/ru/</w:t>
        </w:r>
      </w:hyperlink>
      <w:r w:rsidRPr="004C431E">
        <w:rPr>
          <w:sz w:val="28"/>
          <w:szCs w:val="28"/>
        </w:rPr>
        <w:t>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Учредители и загранучреждения при наличии возможности организуют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сдачу ОГЭ/ЕГЭ в образовательных организациях, осуществляющих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образовательную деятельность за пределами территории Российской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Федерации, загранучреждениях.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По вопросу выдачи аттестатов об основном общем и среднем общем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образовании и приложений к ним (далее – аттестаты) сообщаем следующее.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В соответствии с пунктом 12 Порядка ГИА-9 и пунктом 12 Порядка ГИА-11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заявления об участии в ГИА-9/ГИА-11 по образовательным программам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соответствующего уровня в установленный срок должны быть поданы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обучающимися в образовательные организации, в которых они осваивали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образовательные программы основного или среднего общего образования.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Экстерны, к которым отнесены лица, перечисленные в пункте 5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Порядка ГИА-9 и пункте 6 Порядка ГИА-11, подают заявления в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образовательные организации, выбранные ими для прохождения ГИА-9/ГИА-11.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После проверки экзаменационных работ результаты участников ГИА-9/ГИА-11, находящихся за рубежом, утверждаются государственной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экзаменационной комиссией (далее – ГЭК) Рособрнадзора и передаются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уполномоченной Рособрнадзором организацией по защищенным каналам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связи в региональные центры обработки информации (далее – РЦОИ) тех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субъектов Российской Федерации, на территории которых расположены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образовательные организации, в которых участники ГИА-9/ГИА-11,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находящиеся за рубежом, осваивали образовательные программы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соответствующего уровня общего образования, или к которым они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прикрепились ранее для прохождения ГИА-9/ГИА-11.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Утвержденные ГЭК Рособрнадзора результаты прохождения ГИА-9/ГИА-11 выпускниками, находящимися за рубежом, должны быть доведены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РЦОИ до конкретных образовательных организаций. На основании данных,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lastRenderedPageBreak/>
        <w:t>полученных из РЦОИ, образовательные организации вправе принять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решение о выдаче аттестатов указанным лицам.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Образовательная организация должна обеспечить хранение оригиналов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аттестатов и их выдачу, руководствуясь пунктом 25 Порядка заполнения,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учета и выдачи аттестатов об основном общем и среднем общем образовании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и их дубликатов, утвержденного приказом Министерства просвещения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Российской Федерации от 5 октября 2020 г. № 546, в соответствии с которым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аттестат выдается выпускнику организаци</w:t>
      </w:r>
      <w:r w:rsidR="002C4D2C">
        <w:rPr>
          <w:sz w:val="28"/>
          <w:szCs w:val="28"/>
        </w:rPr>
        <w:t>ей</w:t>
      </w:r>
      <w:r w:rsidRPr="004C431E">
        <w:rPr>
          <w:sz w:val="28"/>
          <w:szCs w:val="28"/>
        </w:rPr>
        <w:t>, осуществляющей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образовательную деятельность, лично или другому лицу при предъявлении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им документа, удостоверяющего личность, и оформленной в установленном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порядке доверенности, выданной указанному лицу выпускником,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или по заявлению выпускника направляется по его адресу через операторов</w:t>
      </w:r>
      <w:r w:rsidR="003A4C24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почтовой связи общего пользования заказным почтовым отправлением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с уведомлением о вручении. Доверенность и (или) заявление, по которым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был выдан (направлен) аттестат, хранятся в личном деле выпускника.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При отсутствии возможности сдачи ЕГЭ и ОГЭ за пределами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территории Российской Федерации, участие в ОГЭ и ЕГЭ может быть</w:t>
      </w:r>
      <w:r w:rsidR="002C4D2C">
        <w:rPr>
          <w:sz w:val="28"/>
          <w:szCs w:val="28"/>
        </w:rPr>
        <w:t xml:space="preserve">   </w:t>
      </w:r>
      <w:r w:rsidRPr="004C431E">
        <w:rPr>
          <w:sz w:val="28"/>
          <w:szCs w:val="28"/>
        </w:rPr>
        <w:t>обеспечено на территории Российской Федерации.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Участие в ОГЭ/ЕГЭ дистанционно Порядком ГИА-9/Порядком ГИА-11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не предусмотрено.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ГИА-9/ГИА-11 в форме промежуточной аттестации проводится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образовательными организациями, в которых обучающиеся второй категории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осваивают образовательные программы основного общего или среднего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общего образования. Для прохождения ГИА-9/ГИА-11 указанные лица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подают соответствующее заявление в свою общеобразовательную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организацию с приложением документов, подтверждающих их отнесение ко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второй категории. Проведение ГИА-9/ГИА-11 в форме промежуточной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аттестации согласовывается с председателем ГЭК-9/ГЭК-11 на основании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мотивированного письма муниципального органа управления образованием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(далее – МОУО).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Приказ регламентирует особенности проведения ГИА-9/ГИА-11. Таким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образом, проведение итогового собеседования и итогового сочинения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(изложения), являющихся одними из условий допуска к ГИА-9/ГИА-11,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для обучающихся второй категории, осуществляется в соответствии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с Порядком ГИА-9/Порядком ГИА-11 с учетом возможности проведения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итогового собеседования и итогового сочинения (изложения)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в дистанционной форме, установленной нормативными правовыми актами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министерства.</w:t>
      </w:r>
    </w:p>
    <w:p w:rsidR="004C431E" w:rsidRPr="004C431E" w:rsidRDefault="004C431E" w:rsidP="004C431E">
      <w:pPr>
        <w:ind w:firstLine="709"/>
        <w:jc w:val="both"/>
        <w:rPr>
          <w:sz w:val="28"/>
          <w:szCs w:val="28"/>
        </w:rPr>
      </w:pPr>
      <w:r w:rsidRPr="004C431E">
        <w:rPr>
          <w:sz w:val="28"/>
          <w:szCs w:val="28"/>
        </w:rPr>
        <w:t>Уточнение информации о наличии результата по итогам прохождения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итогового собеседования или итогового сочинения (изложения), как условий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допуска к ГИА-9/ГИА-11, у обучающихся второй категории, находящихся в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иностранных государствах, после установленных дат проведения итогового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собеседования или итогового сочинения (изложения) происходит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на основании письма-запроса министерства в адрес ФГБУ «Федеральный</w:t>
      </w:r>
      <w:r w:rsidR="002C4D2C">
        <w:rPr>
          <w:sz w:val="28"/>
          <w:szCs w:val="28"/>
        </w:rPr>
        <w:t xml:space="preserve"> </w:t>
      </w:r>
      <w:r w:rsidRPr="004C431E">
        <w:rPr>
          <w:sz w:val="28"/>
          <w:szCs w:val="28"/>
        </w:rPr>
        <w:t>центр тестирования».</w:t>
      </w:r>
    </w:p>
    <w:p w:rsidR="00692EF8" w:rsidRDefault="00692EF8" w:rsidP="003A0DED">
      <w:pPr>
        <w:rPr>
          <w:sz w:val="28"/>
          <w:szCs w:val="28"/>
        </w:rPr>
      </w:pPr>
    </w:p>
    <w:p w:rsidR="006612C6" w:rsidRDefault="006612C6" w:rsidP="003A0DED">
      <w:pPr>
        <w:rPr>
          <w:sz w:val="28"/>
          <w:szCs w:val="28"/>
        </w:rPr>
      </w:pPr>
    </w:p>
    <w:p w:rsidR="006612C6" w:rsidRDefault="006612C6" w:rsidP="003A0DED">
      <w:pPr>
        <w:rPr>
          <w:sz w:val="28"/>
          <w:szCs w:val="28"/>
        </w:rPr>
      </w:pPr>
    </w:p>
    <w:p w:rsidR="006612C6" w:rsidRDefault="006612C6" w:rsidP="003A0DED">
      <w:pPr>
        <w:rPr>
          <w:sz w:val="28"/>
          <w:szCs w:val="28"/>
        </w:rPr>
      </w:pPr>
    </w:p>
    <w:p w:rsidR="006612C6" w:rsidRDefault="006612C6" w:rsidP="003A0DED">
      <w:pPr>
        <w:rPr>
          <w:sz w:val="28"/>
          <w:szCs w:val="28"/>
        </w:rPr>
      </w:pPr>
    </w:p>
    <w:p w:rsidR="006612C6" w:rsidRDefault="006612C6" w:rsidP="003A0DED">
      <w:pPr>
        <w:rPr>
          <w:sz w:val="28"/>
          <w:szCs w:val="28"/>
        </w:rPr>
      </w:pPr>
    </w:p>
    <w:p w:rsidR="006612C6" w:rsidRDefault="006612C6" w:rsidP="003A0DED">
      <w:pPr>
        <w:rPr>
          <w:sz w:val="28"/>
          <w:szCs w:val="28"/>
        </w:rPr>
      </w:pPr>
    </w:p>
    <w:p w:rsidR="006612C6" w:rsidRDefault="006612C6" w:rsidP="003A0DED">
      <w:pPr>
        <w:rPr>
          <w:sz w:val="28"/>
          <w:szCs w:val="28"/>
        </w:rPr>
      </w:pPr>
    </w:p>
    <w:p w:rsidR="002C4D2C" w:rsidRDefault="002C4D2C" w:rsidP="003A0DED">
      <w:pPr>
        <w:rPr>
          <w:sz w:val="28"/>
          <w:szCs w:val="28"/>
        </w:rPr>
      </w:pPr>
    </w:p>
    <w:p w:rsidR="002C4D2C" w:rsidRDefault="002C4D2C" w:rsidP="003A0DED">
      <w:pPr>
        <w:rPr>
          <w:sz w:val="28"/>
          <w:szCs w:val="28"/>
        </w:rPr>
      </w:pPr>
    </w:p>
    <w:p w:rsidR="002C4D2C" w:rsidRDefault="002C4D2C" w:rsidP="003A0DED">
      <w:pPr>
        <w:rPr>
          <w:sz w:val="28"/>
          <w:szCs w:val="28"/>
        </w:rPr>
      </w:pPr>
    </w:p>
    <w:p w:rsidR="002C4D2C" w:rsidRDefault="002C4D2C" w:rsidP="003A0DED">
      <w:pPr>
        <w:rPr>
          <w:sz w:val="28"/>
          <w:szCs w:val="28"/>
        </w:rPr>
      </w:pPr>
    </w:p>
    <w:p w:rsidR="002C4D2C" w:rsidRDefault="002C4D2C" w:rsidP="003A0DED">
      <w:pPr>
        <w:rPr>
          <w:sz w:val="28"/>
          <w:szCs w:val="28"/>
        </w:rPr>
      </w:pPr>
    </w:p>
    <w:sectPr w:rsidR="002C4D2C" w:rsidSect="00692EF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F75" w:rsidRDefault="002A4F75">
      <w:r>
        <w:separator/>
      </w:r>
    </w:p>
  </w:endnote>
  <w:endnote w:type="continuationSeparator" w:id="0">
    <w:p w:rsidR="002A4F75" w:rsidRDefault="002A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F75" w:rsidRDefault="002A4F75">
      <w:r>
        <w:separator/>
      </w:r>
    </w:p>
  </w:footnote>
  <w:footnote w:type="continuationSeparator" w:id="0">
    <w:p w:rsidR="002A4F75" w:rsidRDefault="002A4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88B"/>
    <w:multiLevelType w:val="hybridMultilevel"/>
    <w:tmpl w:val="56BAACCC"/>
    <w:lvl w:ilvl="0" w:tplc="5E92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8237FA"/>
    <w:multiLevelType w:val="hybridMultilevel"/>
    <w:tmpl w:val="792400FC"/>
    <w:lvl w:ilvl="0" w:tplc="38F465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65F94"/>
    <w:multiLevelType w:val="hybridMultilevel"/>
    <w:tmpl w:val="F836BB86"/>
    <w:lvl w:ilvl="0" w:tplc="97B0D25E">
      <w:start w:val="1"/>
      <w:numFmt w:val="decimal"/>
      <w:lvlText w:val="%1."/>
      <w:lvlJc w:val="left"/>
      <w:pPr>
        <w:ind w:left="1845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3370051A"/>
    <w:multiLevelType w:val="hybridMultilevel"/>
    <w:tmpl w:val="7AA0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D2B11"/>
    <w:multiLevelType w:val="multilevel"/>
    <w:tmpl w:val="CB7ABB56"/>
    <w:lvl w:ilvl="0">
      <w:start w:val="1"/>
      <w:numFmt w:val="decimal"/>
      <w:lvlText w:val="%1."/>
      <w:lvlJc w:val="left"/>
      <w:pPr>
        <w:ind w:left="1845" w:hanging="105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3C6C4AFF"/>
    <w:multiLevelType w:val="hybridMultilevel"/>
    <w:tmpl w:val="CB7ABB56"/>
    <w:lvl w:ilvl="0" w:tplc="828C9AB2">
      <w:start w:val="1"/>
      <w:numFmt w:val="decimal"/>
      <w:lvlText w:val="%1."/>
      <w:lvlJc w:val="left"/>
      <w:pPr>
        <w:ind w:left="1845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5C5A37CC"/>
    <w:multiLevelType w:val="hybridMultilevel"/>
    <w:tmpl w:val="2DB01D04"/>
    <w:lvl w:ilvl="0" w:tplc="0540E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572D34"/>
    <w:multiLevelType w:val="hybridMultilevel"/>
    <w:tmpl w:val="A8429BF4"/>
    <w:lvl w:ilvl="0" w:tplc="5DE6C76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60F6066"/>
    <w:multiLevelType w:val="hybridMultilevel"/>
    <w:tmpl w:val="95184364"/>
    <w:lvl w:ilvl="0" w:tplc="E1A62C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67"/>
    <w:rsid w:val="00000A4D"/>
    <w:rsid w:val="00003CDD"/>
    <w:rsid w:val="0000591F"/>
    <w:rsid w:val="00012DCD"/>
    <w:rsid w:val="00017E40"/>
    <w:rsid w:val="00021894"/>
    <w:rsid w:val="00030BEC"/>
    <w:rsid w:val="00030CC2"/>
    <w:rsid w:val="000359E9"/>
    <w:rsid w:val="00037BE4"/>
    <w:rsid w:val="0004534E"/>
    <w:rsid w:val="000459A3"/>
    <w:rsid w:val="0005429C"/>
    <w:rsid w:val="00063089"/>
    <w:rsid w:val="00064B4C"/>
    <w:rsid w:val="00072A90"/>
    <w:rsid w:val="00073E68"/>
    <w:rsid w:val="000758D2"/>
    <w:rsid w:val="000857B4"/>
    <w:rsid w:val="0008639C"/>
    <w:rsid w:val="00086FE6"/>
    <w:rsid w:val="000900A0"/>
    <w:rsid w:val="000966DE"/>
    <w:rsid w:val="000A65E7"/>
    <w:rsid w:val="000B3F7F"/>
    <w:rsid w:val="000C58CF"/>
    <w:rsid w:val="000D6A02"/>
    <w:rsid w:val="000F5844"/>
    <w:rsid w:val="000F6FE4"/>
    <w:rsid w:val="0011447B"/>
    <w:rsid w:val="00114811"/>
    <w:rsid w:val="00121720"/>
    <w:rsid w:val="00122B44"/>
    <w:rsid w:val="00123212"/>
    <w:rsid w:val="00126C73"/>
    <w:rsid w:val="001326BD"/>
    <w:rsid w:val="00137DD9"/>
    <w:rsid w:val="00141CB3"/>
    <w:rsid w:val="00142C23"/>
    <w:rsid w:val="00144F1B"/>
    <w:rsid w:val="001479E6"/>
    <w:rsid w:val="00147BAF"/>
    <w:rsid w:val="001560A6"/>
    <w:rsid w:val="001659C0"/>
    <w:rsid w:val="00167B45"/>
    <w:rsid w:val="001706E7"/>
    <w:rsid w:val="00174241"/>
    <w:rsid w:val="00175E49"/>
    <w:rsid w:val="00182AC4"/>
    <w:rsid w:val="00184327"/>
    <w:rsid w:val="0018717E"/>
    <w:rsid w:val="001A0D2F"/>
    <w:rsid w:val="001A2FE3"/>
    <w:rsid w:val="001B163A"/>
    <w:rsid w:val="001B7654"/>
    <w:rsid w:val="001C0520"/>
    <w:rsid w:val="001C1297"/>
    <w:rsid w:val="001C2CF1"/>
    <w:rsid w:val="001C4D86"/>
    <w:rsid w:val="001D13DC"/>
    <w:rsid w:val="001D65A9"/>
    <w:rsid w:val="001E4CB0"/>
    <w:rsid w:val="001F404E"/>
    <w:rsid w:val="001F73BD"/>
    <w:rsid w:val="00205722"/>
    <w:rsid w:val="00207751"/>
    <w:rsid w:val="0021642F"/>
    <w:rsid w:val="00220FF1"/>
    <w:rsid w:val="002303AD"/>
    <w:rsid w:val="0024118D"/>
    <w:rsid w:val="00245165"/>
    <w:rsid w:val="00245F4C"/>
    <w:rsid w:val="00251CA9"/>
    <w:rsid w:val="00257CF5"/>
    <w:rsid w:val="00263D30"/>
    <w:rsid w:val="00266D24"/>
    <w:rsid w:val="00271473"/>
    <w:rsid w:val="00295A2C"/>
    <w:rsid w:val="002A4F75"/>
    <w:rsid w:val="002B07FD"/>
    <w:rsid w:val="002B42F4"/>
    <w:rsid w:val="002C0D69"/>
    <w:rsid w:val="002C1319"/>
    <w:rsid w:val="002C4D2C"/>
    <w:rsid w:val="002C589B"/>
    <w:rsid w:val="002D13C3"/>
    <w:rsid w:val="002E13AA"/>
    <w:rsid w:val="002F7885"/>
    <w:rsid w:val="00300D39"/>
    <w:rsid w:val="0030250B"/>
    <w:rsid w:val="0030273E"/>
    <w:rsid w:val="0031753C"/>
    <w:rsid w:val="0032281F"/>
    <w:rsid w:val="003240AB"/>
    <w:rsid w:val="003244B4"/>
    <w:rsid w:val="00330E15"/>
    <w:rsid w:val="0033290E"/>
    <w:rsid w:val="00334E28"/>
    <w:rsid w:val="003351FC"/>
    <w:rsid w:val="003372A7"/>
    <w:rsid w:val="00337869"/>
    <w:rsid w:val="00341763"/>
    <w:rsid w:val="00353379"/>
    <w:rsid w:val="0035612A"/>
    <w:rsid w:val="00362812"/>
    <w:rsid w:val="00362ABE"/>
    <w:rsid w:val="003725A5"/>
    <w:rsid w:val="00376BB0"/>
    <w:rsid w:val="00382012"/>
    <w:rsid w:val="00391611"/>
    <w:rsid w:val="003916A1"/>
    <w:rsid w:val="00397312"/>
    <w:rsid w:val="003A0DED"/>
    <w:rsid w:val="003A4C24"/>
    <w:rsid w:val="003A6D38"/>
    <w:rsid w:val="003A6EA5"/>
    <w:rsid w:val="003D40F5"/>
    <w:rsid w:val="003E207C"/>
    <w:rsid w:val="003E2D78"/>
    <w:rsid w:val="003E4641"/>
    <w:rsid w:val="003F280D"/>
    <w:rsid w:val="00410E9E"/>
    <w:rsid w:val="00412F23"/>
    <w:rsid w:val="00413995"/>
    <w:rsid w:val="00416712"/>
    <w:rsid w:val="00422AF6"/>
    <w:rsid w:val="00430A94"/>
    <w:rsid w:val="00431787"/>
    <w:rsid w:val="0044651C"/>
    <w:rsid w:val="004518BC"/>
    <w:rsid w:val="00453647"/>
    <w:rsid w:val="004575A3"/>
    <w:rsid w:val="00462E3C"/>
    <w:rsid w:val="00466E68"/>
    <w:rsid w:val="004757D2"/>
    <w:rsid w:val="0048005F"/>
    <w:rsid w:val="00487B4E"/>
    <w:rsid w:val="0049039A"/>
    <w:rsid w:val="00490DE0"/>
    <w:rsid w:val="00493E4E"/>
    <w:rsid w:val="004A75E7"/>
    <w:rsid w:val="004B0F3D"/>
    <w:rsid w:val="004B2215"/>
    <w:rsid w:val="004B5A35"/>
    <w:rsid w:val="004B732D"/>
    <w:rsid w:val="004C0078"/>
    <w:rsid w:val="004C17E8"/>
    <w:rsid w:val="004C431E"/>
    <w:rsid w:val="004D5EDE"/>
    <w:rsid w:val="004E3F59"/>
    <w:rsid w:val="004E6702"/>
    <w:rsid w:val="00514CEF"/>
    <w:rsid w:val="005251CF"/>
    <w:rsid w:val="0053387A"/>
    <w:rsid w:val="00534579"/>
    <w:rsid w:val="00536F68"/>
    <w:rsid w:val="00541697"/>
    <w:rsid w:val="00543F94"/>
    <w:rsid w:val="00563993"/>
    <w:rsid w:val="005651D4"/>
    <w:rsid w:val="0057283E"/>
    <w:rsid w:val="005749BC"/>
    <w:rsid w:val="005751C9"/>
    <w:rsid w:val="00581925"/>
    <w:rsid w:val="00581E98"/>
    <w:rsid w:val="00590DA4"/>
    <w:rsid w:val="0059243F"/>
    <w:rsid w:val="00592619"/>
    <w:rsid w:val="00594005"/>
    <w:rsid w:val="005A1586"/>
    <w:rsid w:val="005B0F29"/>
    <w:rsid w:val="005B7283"/>
    <w:rsid w:val="005D0C2C"/>
    <w:rsid w:val="005D1C37"/>
    <w:rsid w:val="005E10D9"/>
    <w:rsid w:val="005E3D9A"/>
    <w:rsid w:val="005F41C7"/>
    <w:rsid w:val="005F69D8"/>
    <w:rsid w:val="005F7646"/>
    <w:rsid w:val="00601505"/>
    <w:rsid w:val="006048F6"/>
    <w:rsid w:val="00612DC4"/>
    <w:rsid w:val="00615A4D"/>
    <w:rsid w:val="00622728"/>
    <w:rsid w:val="006278F2"/>
    <w:rsid w:val="006315B7"/>
    <w:rsid w:val="006403EE"/>
    <w:rsid w:val="0064480A"/>
    <w:rsid w:val="0065640C"/>
    <w:rsid w:val="006570F8"/>
    <w:rsid w:val="006612C6"/>
    <w:rsid w:val="006624EB"/>
    <w:rsid w:val="00664EEB"/>
    <w:rsid w:val="00666889"/>
    <w:rsid w:val="006732FA"/>
    <w:rsid w:val="006754B5"/>
    <w:rsid w:val="00682380"/>
    <w:rsid w:val="00692EF8"/>
    <w:rsid w:val="00693B83"/>
    <w:rsid w:val="006A7964"/>
    <w:rsid w:val="006B4DDF"/>
    <w:rsid w:val="006C2F99"/>
    <w:rsid w:val="006D7BB5"/>
    <w:rsid w:val="006F1CA8"/>
    <w:rsid w:val="006F4C2C"/>
    <w:rsid w:val="006F7EEC"/>
    <w:rsid w:val="0070164E"/>
    <w:rsid w:val="00703D47"/>
    <w:rsid w:val="007064EF"/>
    <w:rsid w:val="00706E07"/>
    <w:rsid w:val="007179F1"/>
    <w:rsid w:val="00721D40"/>
    <w:rsid w:val="0072217A"/>
    <w:rsid w:val="00724065"/>
    <w:rsid w:val="007265D5"/>
    <w:rsid w:val="00735DE8"/>
    <w:rsid w:val="00742376"/>
    <w:rsid w:val="00751249"/>
    <w:rsid w:val="00755007"/>
    <w:rsid w:val="00762EEE"/>
    <w:rsid w:val="00774C01"/>
    <w:rsid w:val="00776B1B"/>
    <w:rsid w:val="00777C12"/>
    <w:rsid w:val="00780242"/>
    <w:rsid w:val="00781AD9"/>
    <w:rsid w:val="00790152"/>
    <w:rsid w:val="0079093C"/>
    <w:rsid w:val="00792625"/>
    <w:rsid w:val="0079520C"/>
    <w:rsid w:val="007A0383"/>
    <w:rsid w:val="007A155B"/>
    <w:rsid w:val="007A3DDF"/>
    <w:rsid w:val="007A4D32"/>
    <w:rsid w:val="007A69D8"/>
    <w:rsid w:val="007A6DAF"/>
    <w:rsid w:val="007A7C60"/>
    <w:rsid w:val="007B026E"/>
    <w:rsid w:val="007C06C8"/>
    <w:rsid w:val="007C4887"/>
    <w:rsid w:val="007C5548"/>
    <w:rsid w:val="007C71D7"/>
    <w:rsid w:val="007D2215"/>
    <w:rsid w:val="007D3902"/>
    <w:rsid w:val="007D702F"/>
    <w:rsid w:val="007E013F"/>
    <w:rsid w:val="007E0CC2"/>
    <w:rsid w:val="007F08DF"/>
    <w:rsid w:val="007F667E"/>
    <w:rsid w:val="0080171B"/>
    <w:rsid w:val="00802D2A"/>
    <w:rsid w:val="00804E4F"/>
    <w:rsid w:val="00807BA1"/>
    <w:rsid w:val="008115EA"/>
    <w:rsid w:val="0082649B"/>
    <w:rsid w:val="00834011"/>
    <w:rsid w:val="008412F8"/>
    <w:rsid w:val="0084354E"/>
    <w:rsid w:val="0085242A"/>
    <w:rsid w:val="00853520"/>
    <w:rsid w:val="008554D1"/>
    <w:rsid w:val="00856176"/>
    <w:rsid w:val="00861A4A"/>
    <w:rsid w:val="00861E2F"/>
    <w:rsid w:val="00862407"/>
    <w:rsid w:val="0087117A"/>
    <w:rsid w:val="0087464A"/>
    <w:rsid w:val="00874D52"/>
    <w:rsid w:val="00883115"/>
    <w:rsid w:val="00891C04"/>
    <w:rsid w:val="008926A8"/>
    <w:rsid w:val="00896342"/>
    <w:rsid w:val="0089703B"/>
    <w:rsid w:val="008A022F"/>
    <w:rsid w:val="008A038A"/>
    <w:rsid w:val="008A433D"/>
    <w:rsid w:val="008A7595"/>
    <w:rsid w:val="008A78BA"/>
    <w:rsid w:val="008B2632"/>
    <w:rsid w:val="008B40A9"/>
    <w:rsid w:val="008C33FF"/>
    <w:rsid w:val="008D2E23"/>
    <w:rsid w:val="008D41C9"/>
    <w:rsid w:val="008E0905"/>
    <w:rsid w:val="008F1228"/>
    <w:rsid w:val="008F644E"/>
    <w:rsid w:val="00901204"/>
    <w:rsid w:val="00903B9F"/>
    <w:rsid w:val="00906744"/>
    <w:rsid w:val="0091297A"/>
    <w:rsid w:val="00916BAE"/>
    <w:rsid w:val="009232F8"/>
    <w:rsid w:val="00927926"/>
    <w:rsid w:val="00936FD7"/>
    <w:rsid w:val="00953581"/>
    <w:rsid w:val="009726A0"/>
    <w:rsid w:val="00972C05"/>
    <w:rsid w:val="00974439"/>
    <w:rsid w:val="009801E8"/>
    <w:rsid w:val="00980290"/>
    <w:rsid w:val="00981860"/>
    <w:rsid w:val="00984180"/>
    <w:rsid w:val="0098781B"/>
    <w:rsid w:val="0099102C"/>
    <w:rsid w:val="00993F2A"/>
    <w:rsid w:val="00997E72"/>
    <w:rsid w:val="009A264A"/>
    <w:rsid w:val="009A3F34"/>
    <w:rsid w:val="009B4BA3"/>
    <w:rsid w:val="009B523E"/>
    <w:rsid w:val="009B73F2"/>
    <w:rsid w:val="009C2349"/>
    <w:rsid w:val="009D6B16"/>
    <w:rsid w:val="009E21FC"/>
    <w:rsid w:val="009E23D1"/>
    <w:rsid w:val="009E363A"/>
    <w:rsid w:val="009F467C"/>
    <w:rsid w:val="00A04503"/>
    <w:rsid w:val="00A13BF6"/>
    <w:rsid w:val="00A1799A"/>
    <w:rsid w:val="00A24C11"/>
    <w:rsid w:val="00A2703F"/>
    <w:rsid w:val="00A27E0C"/>
    <w:rsid w:val="00A27EA5"/>
    <w:rsid w:val="00A36E2C"/>
    <w:rsid w:val="00A41697"/>
    <w:rsid w:val="00A42C4A"/>
    <w:rsid w:val="00A44DE8"/>
    <w:rsid w:val="00A50BE9"/>
    <w:rsid w:val="00A50DBF"/>
    <w:rsid w:val="00A70449"/>
    <w:rsid w:val="00A72188"/>
    <w:rsid w:val="00A74D67"/>
    <w:rsid w:val="00A75F23"/>
    <w:rsid w:val="00A82F8F"/>
    <w:rsid w:val="00A830C1"/>
    <w:rsid w:val="00A95F77"/>
    <w:rsid w:val="00AA3399"/>
    <w:rsid w:val="00AA48A1"/>
    <w:rsid w:val="00AA48FF"/>
    <w:rsid w:val="00AB3E51"/>
    <w:rsid w:val="00AB59B0"/>
    <w:rsid w:val="00AB64FB"/>
    <w:rsid w:val="00AD2C71"/>
    <w:rsid w:val="00AD3692"/>
    <w:rsid w:val="00AD5FCB"/>
    <w:rsid w:val="00AD798E"/>
    <w:rsid w:val="00AE33BA"/>
    <w:rsid w:val="00AE6EC6"/>
    <w:rsid w:val="00AF1156"/>
    <w:rsid w:val="00AF430D"/>
    <w:rsid w:val="00AF68BB"/>
    <w:rsid w:val="00AF70FA"/>
    <w:rsid w:val="00AF7824"/>
    <w:rsid w:val="00B03C89"/>
    <w:rsid w:val="00B10FBB"/>
    <w:rsid w:val="00B16E04"/>
    <w:rsid w:val="00B175ED"/>
    <w:rsid w:val="00B24062"/>
    <w:rsid w:val="00B44B07"/>
    <w:rsid w:val="00B50DEE"/>
    <w:rsid w:val="00B549F6"/>
    <w:rsid w:val="00B64269"/>
    <w:rsid w:val="00B654FD"/>
    <w:rsid w:val="00B74450"/>
    <w:rsid w:val="00B86D00"/>
    <w:rsid w:val="00B928D3"/>
    <w:rsid w:val="00B94431"/>
    <w:rsid w:val="00B978EC"/>
    <w:rsid w:val="00BA02D5"/>
    <w:rsid w:val="00BA6F4D"/>
    <w:rsid w:val="00BB1715"/>
    <w:rsid w:val="00BB37C4"/>
    <w:rsid w:val="00BB3D27"/>
    <w:rsid w:val="00BB5015"/>
    <w:rsid w:val="00BD2D65"/>
    <w:rsid w:val="00BD3363"/>
    <w:rsid w:val="00BD6806"/>
    <w:rsid w:val="00C00E33"/>
    <w:rsid w:val="00C05091"/>
    <w:rsid w:val="00C16639"/>
    <w:rsid w:val="00C16EFE"/>
    <w:rsid w:val="00C6044D"/>
    <w:rsid w:val="00C615DA"/>
    <w:rsid w:val="00C61A6D"/>
    <w:rsid w:val="00C6280A"/>
    <w:rsid w:val="00C636E9"/>
    <w:rsid w:val="00C64B26"/>
    <w:rsid w:val="00C7111C"/>
    <w:rsid w:val="00C722D5"/>
    <w:rsid w:val="00C74F2C"/>
    <w:rsid w:val="00C75AAA"/>
    <w:rsid w:val="00C929D8"/>
    <w:rsid w:val="00C944BF"/>
    <w:rsid w:val="00CA7B08"/>
    <w:rsid w:val="00CB0D68"/>
    <w:rsid w:val="00CB4025"/>
    <w:rsid w:val="00CB44FE"/>
    <w:rsid w:val="00CB7DFD"/>
    <w:rsid w:val="00CC6325"/>
    <w:rsid w:val="00CD2FD2"/>
    <w:rsid w:val="00CD6121"/>
    <w:rsid w:val="00CE59C6"/>
    <w:rsid w:val="00CF3B07"/>
    <w:rsid w:val="00CF7DB9"/>
    <w:rsid w:val="00D04123"/>
    <w:rsid w:val="00D06C82"/>
    <w:rsid w:val="00D13231"/>
    <w:rsid w:val="00D1683E"/>
    <w:rsid w:val="00D177AA"/>
    <w:rsid w:val="00D273C2"/>
    <w:rsid w:val="00D32E84"/>
    <w:rsid w:val="00D3569F"/>
    <w:rsid w:val="00D43B16"/>
    <w:rsid w:val="00D4428D"/>
    <w:rsid w:val="00D60658"/>
    <w:rsid w:val="00D87D4B"/>
    <w:rsid w:val="00D930C6"/>
    <w:rsid w:val="00D97F67"/>
    <w:rsid w:val="00DA041C"/>
    <w:rsid w:val="00DA2767"/>
    <w:rsid w:val="00DA45FD"/>
    <w:rsid w:val="00DA524E"/>
    <w:rsid w:val="00DA5779"/>
    <w:rsid w:val="00DB3CED"/>
    <w:rsid w:val="00DB75C7"/>
    <w:rsid w:val="00DC2B58"/>
    <w:rsid w:val="00DD08BC"/>
    <w:rsid w:val="00DD5DE5"/>
    <w:rsid w:val="00DD7F66"/>
    <w:rsid w:val="00DE6C18"/>
    <w:rsid w:val="00DF27B2"/>
    <w:rsid w:val="00DF2ADD"/>
    <w:rsid w:val="00DF5BEF"/>
    <w:rsid w:val="00DF7F8D"/>
    <w:rsid w:val="00E0212E"/>
    <w:rsid w:val="00E0578F"/>
    <w:rsid w:val="00E145CE"/>
    <w:rsid w:val="00E277ED"/>
    <w:rsid w:val="00E4153C"/>
    <w:rsid w:val="00E42647"/>
    <w:rsid w:val="00E45282"/>
    <w:rsid w:val="00E55F5F"/>
    <w:rsid w:val="00E63C79"/>
    <w:rsid w:val="00E71191"/>
    <w:rsid w:val="00E74A67"/>
    <w:rsid w:val="00E80DF1"/>
    <w:rsid w:val="00E81F4B"/>
    <w:rsid w:val="00E90123"/>
    <w:rsid w:val="00E93458"/>
    <w:rsid w:val="00E96619"/>
    <w:rsid w:val="00EA6307"/>
    <w:rsid w:val="00EB7A6C"/>
    <w:rsid w:val="00EC0005"/>
    <w:rsid w:val="00EC004C"/>
    <w:rsid w:val="00EC47FF"/>
    <w:rsid w:val="00ED67D7"/>
    <w:rsid w:val="00ED68D5"/>
    <w:rsid w:val="00EE0EDC"/>
    <w:rsid w:val="00EE20D0"/>
    <w:rsid w:val="00EE3213"/>
    <w:rsid w:val="00EE3FC7"/>
    <w:rsid w:val="00EF66F7"/>
    <w:rsid w:val="00EF75CB"/>
    <w:rsid w:val="00F046D2"/>
    <w:rsid w:val="00F27C0A"/>
    <w:rsid w:val="00F33583"/>
    <w:rsid w:val="00F36011"/>
    <w:rsid w:val="00F40993"/>
    <w:rsid w:val="00F463CA"/>
    <w:rsid w:val="00F628E6"/>
    <w:rsid w:val="00F64F83"/>
    <w:rsid w:val="00F6580A"/>
    <w:rsid w:val="00F756C4"/>
    <w:rsid w:val="00F90C22"/>
    <w:rsid w:val="00F9136D"/>
    <w:rsid w:val="00F914EA"/>
    <w:rsid w:val="00F93081"/>
    <w:rsid w:val="00F974A7"/>
    <w:rsid w:val="00FA3E88"/>
    <w:rsid w:val="00FA43E6"/>
    <w:rsid w:val="00FA66DD"/>
    <w:rsid w:val="00FB04FF"/>
    <w:rsid w:val="00FB65D2"/>
    <w:rsid w:val="00FB76CA"/>
    <w:rsid w:val="00FB7C1D"/>
    <w:rsid w:val="00FE214B"/>
    <w:rsid w:val="00FE2D00"/>
    <w:rsid w:val="00FE3918"/>
    <w:rsid w:val="00FE3EBD"/>
    <w:rsid w:val="00FF47FF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7E31B"/>
  <w15:docId w15:val="{DD3B0A37-788F-40A4-94C6-BC24E753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16639"/>
    <w:pPr>
      <w:spacing w:before="120" w:after="120"/>
    </w:pPr>
    <w:rPr>
      <w:b/>
      <w:bCs/>
      <w:sz w:val="20"/>
      <w:szCs w:val="20"/>
    </w:rPr>
  </w:style>
  <w:style w:type="table" w:styleId="a4">
    <w:name w:val="Table Grid"/>
    <w:basedOn w:val="a1"/>
    <w:rsid w:val="00C16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B163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50D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0DEE"/>
  </w:style>
  <w:style w:type="paragraph" w:customStyle="1" w:styleId="1">
    <w:name w:val="Знак Знак1"/>
    <w:basedOn w:val="a"/>
    <w:rsid w:val="00936F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E93458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9">
    <w:name w:val="Основной текст Знак"/>
    <w:link w:val="a8"/>
    <w:rsid w:val="00E93458"/>
    <w:rPr>
      <w:b/>
      <w:bCs/>
      <w:sz w:val="24"/>
      <w:szCs w:val="24"/>
    </w:rPr>
  </w:style>
  <w:style w:type="paragraph" w:styleId="aa">
    <w:name w:val="Plain Text"/>
    <w:basedOn w:val="a"/>
    <w:rsid w:val="00003CDD"/>
    <w:rPr>
      <w:rFonts w:ascii="Courier New" w:hAnsi="Courier New"/>
      <w:w w:val="90"/>
      <w:sz w:val="20"/>
      <w:szCs w:val="20"/>
    </w:rPr>
  </w:style>
  <w:style w:type="paragraph" w:customStyle="1" w:styleId="ab">
    <w:name w:val="Знак Знак"/>
    <w:basedOn w:val="a"/>
    <w:rsid w:val="00EC004C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rsid w:val="006048F6"/>
    <w:pPr>
      <w:tabs>
        <w:tab w:val="center" w:pos="4677"/>
        <w:tab w:val="right" w:pos="9355"/>
      </w:tabs>
    </w:pPr>
  </w:style>
  <w:style w:type="character" w:styleId="ad">
    <w:name w:val="Hyperlink"/>
    <w:rsid w:val="000758D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E6702"/>
    <w:pPr>
      <w:ind w:left="720"/>
      <w:contextualSpacing/>
    </w:pPr>
  </w:style>
  <w:style w:type="character" w:styleId="af">
    <w:name w:val="FollowedHyperlink"/>
    <w:basedOn w:val="a0"/>
    <w:semiHidden/>
    <w:unhideWhenUsed/>
    <w:rsid w:val="006612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hailova_ni\&#1052;&#1086;&#1080;%20&#1076;&#1086;&#1082;&#1091;&#1084;&#1077;&#1085;&#1090;&#1099;\&#1055;&#1080;&#1089;&#1100;&#1084;&#1072;\&#1087;&#1080;&#1089;&#1100;&#1084;&#1086;%20(&#1085;&#1086;&#1074;&#1086;&#1077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591B-E520-4331-AECD-F6193741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(новое)</Template>
  <TotalTime>19</TotalTime>
  <Pages>6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 А</vt:lpstr>
    </vt:vector>
  </TitlesOfParts>
  <Company>Министерство образования СК</Company>
  <LinksUpToDate>false</LinksUpToDate>
  <CharactersWithSpaces>13662</CharactersWithSpaces>
  <SharedDoc>false</SharedDoc>
  <HLinks>
    <vt:vector size="6" baseType="variant">
      <vt:variant>
        <vt:i4>6946830</vt:i4>
      </vt:variant>
      <vt:variant>
        <vt:i4>0</vt:i4>
      </vt:variant>
      <vt:variant>
        <vt:i4>0</vt:i4>
      </vt:variant>
      <vt:variant>
        <vt:i4>5</vt:i4>
      </vt:variant>
      <vt:variant>
        <vt:lpwstr>mailto:stat2@stavminobr.ru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А</dc:title>
  <dc:creator>mihailova_ni</dc:creator>
  <cp:lastModifiedBy>wkola</cp:lastModifiedBy>
  <cp:revision>6</cp:revision>
  <cp:lastPrinted>2024-03-12T07:08:00Z</cp:lastPrinted>
  <dcterms:created xsi:type="dcterms:W3CDTF">2024-03-12T06:54:00Z</dcterms:created>
  <dcterms:modified xsi:type="dcterms:W3CDTF">2024-03-12T09:13:00Z</dcterms:modified>
</cp:coreProperties>
</file>